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9" w:rsidRPr="00C85C1B" w:rsidRDefault="00DC3625" w:rsidP="00C85C1B">
      <w:pPr>
        <w:spacing w:after="0"/>
        <w:jc w:val="center"/>
        <w:rPr>
          <w:b/>
          <w:sz w:val="28"/>
        </w:rPr>
      </w:pPr>
      <w:r w:rsidRPr="00300E31">
        <w:rPr>
          <w:b/>
          <w:sz w:val="28"/>
        </w:rPr>
        <w:t xml:space="preserve"> </w:t>
      </w:r>
      <w:r w:rsidR="003F1439" w:rsidRPr="00C85C1B">
        <w:rPr>
          <w:b/>
          <w:sz w:val="28"/>
        </w:rPr>
        <w:t>Prevention of Venous Thromboembolism</w:t>
      </w:r>
      <w:r w:rsidR="00715CB4" w:rsidRPr="00C85C1B">
        <w:rPr>
          <w:b/>
          <w:sz w:val="28"/>
        </w:rPr>
        <w:t xml:space="preserve"> (VTE)</w:t>
      </w:r>
      <w:r w:rsidR="003F1439" w:rsidRPr="00C85C1B">
        <w:rPr>
          <w:b/>
          <w:sz w:val="28"/>
        </w:rPr>
        <w:t xml:space="preserve"> </w:t>
      </w:r>
      <w:r w:rsidR="00715CB4" w:rsidRPr="00C85C1B">
        <w:rPr>
          <w:b/>
          <w:sz w:val="28"/>
        </w:rPr>
        <w:t>i</w:t>
      </w:r>
      <w:r w:rsidR="003F1439" w:rsidRPr="00C85C1B">
        <w:rPr>
          <w:b/>
          <w:sz w:val="28"/>
        </w:rPr>
        <w:t>n Hospitalized Patients</w:t>
      </w:r>
    </w:p>
    <w:p w:rsidR="003F1439" w:rsidRPr="00C85C1B" w:rsidRDefault="003F1439" w:rsidP="00C85C1B">
      <w:pPr>
        <w:spacing w:after="0"/>
        <w:jc w:val="center"/>
        <w:rPr>
          <w:b/>
          <w:sz w:val="28"/>
        </w:rPr>
      </w:pPr>
      <w:r w:rsidRPr="00C85C1B">
        <w:rPr>
          <w:b/>
          <w:sz w:val="28"/>
        </w:rPr>
        <w:t>Summary of Good Practice</w:t>
      </w:r>
    </w:p>
    <w:p w:rsidR="003F1439" w:rsidRDefault="003F1439" w:rsidP="003F1439">
      <w:pPr>
        <w:jc w:val="center"/>
        <w:rPr>
          <w:sz w:val="28"/>
        </w:rPr>
      </w:pPr>
    </w:p>
    <w:p w:rsidR="003F1439" w:rsidRPr="00471EDC" w:rsidRDefault="003F1439" w:rsidP="00300E31">
      <w:pPr>
        <w:spacing w:after="0"/>
        <w:rPr>
          <w:b/>
          <w:sz w:val="28"/>
        </w:rPr>
      </w:pPr>
      <w:r w:rsidRPr="00471EDC">
        <w:rPr>
          <w:b/>
          <w:sz w:val="28"/>
        </w:rPr>
        <w:t>Clinical Order Sets</w:t>
      </w:r>
    </w:p>
    <w:p w:rsidR="003F1439" w:rsidRDefault="003F1439" w:rsidP="00300E31">
      <w:pPr>
        <w:spacing w:after="0"/>
        <w:rPr>
          <w:sz w:val="24"/>
        </w:rPr>
      </w:pPr>
      <w:r>
        <w:rPr>
          <w:sz w:val="24"/>
        </w:rPr>
        <w:t xml:space="preserve">Prophylaxis of </w:t>
      </w:r>
      <w:r w:rsidR="00715CB4">
        <w:rPr>
          <w:sz w:val="24"/>
        </w:rPr>
        <w:t xml:space="preserve">VTE </w:t>
      </w:r>
      <w:r>
        <w:rPr>
          <w:sz w:val="24"/>
        </w:rPr>
        <w:t>works best when there is a system</w:t>
      </w:r>
      <w:r w:rsidR="00715CB4">
        <w:rPr>
          <w:sz w:val="24"/>
        </w:rPr>
        <w:t>-wide</w:t>
      </w:r>
      <w:r>
        <w:rPr>
          <w:sz w:val="24"/>
        </w:rPr>
        <w:t xml:space="preserve"> approach within a hospital.  The best way to accomplish </w:t>
      </w:r>
      <w:r w:rsidR="00715CB4">
        <w:rPr>
          <w:sz w:val="24"/>
        </w:rPr>
        <w:t xml:space="preserve">this </w:t>
      </w:r>
      <w:r>
        <w:rPr>
          <w:sz w:val="24"/>
        </w:rPr>
        <w:t>is to embed orders for prophylaxis in clinical order</w:t>
      </w:r>
      <w:r w:rsidR="00471EDC">
        <w:rPr>
          <w:sz w:val="24"/>
        </w:rPr>
        <w:t xml:space="preserve"> </w:t>
      </w:r>
      <w:r>
        <w:rPr>
          <w:sz w:val="24"/>
        </w:rPr>
        <w:t xml:space="preserve">sets, such that prophylaxis is routine and inclusive. </w:t>
      </w:r>
    </w:p>
    <w:p w:rsidR="00C85C1B" w:rsidRDefault="00C85C1B" w:rsidP="00300E31">
      <w:pPr>
        <w:spacing w:after="0"/>
        <w:rPr>
          <w:b/>
          <w:sz w:val="28"/>
        </w:rPr>
      </w:pPr>
    </w:p>
    <w:p w:rsidR="00471EDC" w:rsidRDefault="00471EDC" w:rsidP="00C85C1B">
      <w:pPr>
        <w:spacing w:after="0"/>
        <w:rPr>
          <w:b/>
          <w:sz w:val="28"/>
        </w:rPr>
      </w:pPr>
      <w:r w:rsidRPr="00471EDC">
        <w:rPr>
          <w:b/>
          <w:sz w:val="28"/>
        </w:rPr>
        <w:t>Opt In vs</w:t>
      </w:r>
      <w:r w:rsidR="00C85C1B">
        <w:rPr>
          <w:b/>
          <w:sz w:val="28"/>
        </w:rPr>
        <w:t>.</w:t>
      </w:r>
      <w:r w:rsidRPr="00471EDC">
        <w:rPr>
          <w:b/>
          <w:sz w:val="28"/>
        </w:rPr>
        <w:t xml:space="preserve"> Opt Out</w:t>
      </w:r>
    </w:p>
    <w:p w:rsidR="00D43141" w:rsidRPr="00471EDC" w:rsidRDefault="00471EDC" w:rsidP="00300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institutions have elected to use an “opt out” approach for DVT prophylaxis on their clinical order sets.  </w:t>
      </w:r>
      <w:r w:rsidR="00715CB4">
        <w:rPr>
          <w:sz w:val="24"/>
          <w:szCs w:val="24"/>
        </w:rPr>
        <w:t>In</w:t>
      </w:r>
      <w:r w:rsidR="00CD72B1">
        <w:rPr>
          <w:sz w:val="24"/>
          <w:szCs w:val="24"/>
        </w:rPr>
        <w:t xml:space="preserve"> an “opt out” order set, all patients using that order set have an automatic order for DVT prophylaxis.  A physician </w:t>
      </w:r>
      <w:r w:rsidR="00C85C1B">
        <w:rPr>
          <w:sz w:val="24"/>
          <w:szCs w:val="24"/>
        </w:rPr>
        <w:t>must</w:t>
      </w:r>
      <w:r w:rsidR="00CD72B1">
        <w:rPr>
          <w:sz w:val="24"/>
          <w:szCs w:val="24"/>
        </w:rPr>
        <w:t xml:space="preserve"> </w:t>
      </w:r>
      <w:r w:rsidR="00D43141">
        <w:rPr>
          <w:sz w:val="24"/>
          <w:szCs w:val="24"/>
        </w:rPr>
        <w:t>inactivate the order for prophylaxis</w:t>
      </w:r>
      <w:r w:rsidR="00715CB4">
        <w:rPr>
          <w:sz w:val="24"/>
          <w:szCs w:val="24"/>
        </w:rPr>
        <w:t xml:space="preserve"> (</w:t>
      </w:r>
      <w:r w:rsidR="00D43141">
        <w:rPr>
          <w:sz w:val="24"/>
          <w:szCs w:val="24"/>
        </w:rPr>
        <w:t>“opt out”</w:t>
      </w:r>
      <w:r w:rsidR="00715CB4">
        <w:rPr>
          <w:sz w:val="24"/>
          <w:szCs w:val="24"/>
        </w:rPr>
        <w:t>)</w:t>
      </w:r>
      <w:r w:rsidR="00D43141">
        <w:rPr>
          <w:sz w:val="24"/>
          <w:szCs w:val="24"/>
        </w:rPr>
        <w:t xml:space="preserve"> if they </w:t>
      </w:r>
      <w:r w:rsidR="00715CB4">
        <w:rPr>
          <w:sz w:val="24"/>
          <w:szCs w:val="24"/>
        </w:rPr>
        <w:t>feel that thromboprophylaxis is not indicated or is contraindicated</w:t>
      </w:r>
      <w:r w:rsidR="00D43141">
        <w:rPr>
          <w:sz w:val="24"/>
          <w:szCs w:val="24"/>
        </w:rPr>
        <w:t xml:space="preserve">.  </w:t>
      </w:r>
      <w:r w:rsidR="00C85C1B">
        <w:rPr>
          <w:sz w:val="24"/>
          <w:szCs w:val="24"/>
        </w:rPr>
        <w:t xml:space="preserve">Physicians should </w:t>
      </w:r>
      <w:r w:rsidR="00D43141">
        <w:rPr>
          <w:sz w:val="24"/>
          <w:szCs w:val="24"/>
        </w:rPr>
        <w:t xml:space="preserve">state the reason </w:t>
      </w:r>
      <w:r w:rsidR="00C85C1B">
        <w:rPr>
          <w:sz w:val="24"/>
          <w:szCs w:val="24"/>
        </w:rPr>
        <w:t>why</w:t>
      </w:r>
      <w:r w:rsidR="00C85C1B">
        <w:rPr>
          <w:sz w:val="24"/>
          <w:szCs w:val="24"/>
        </w:rPr>
        <w:t xml:space="preserve"> </w:t>
      </w:r>
      <w:r w:rsidR="00D43141">
        <w:rPr>
          <w:sz w:val="24"/>
          <w:szCs w:val="24"/>
        </w:rPr>
        <w:t>no prophylaxis is ordered when “opt out”</w:t>
      </w:r>
      <w:r w:rsidR="00C85C1B">
        <w:rPr>
          <w:sz w:val="24"/>
          <w:szCs w:val="24"/>
        </w:rPr>
        <w:t xml:space="preserve"> is chosen. </w:t>
      </w:r>
      <w:r w:rsidR="00D43141">
        <w:rPr>
          <w:sz w:val="24"/>
          <w:szCs w:val="24"/>
        </w:rPr>
        <w:t xml:space="preserve">An “opt out” style order ensures that DVT prophylaxis is </w:t>
      </w:r>
      <w:r w:rsidR="00715CB4">
        <w:rPr>
          <w:sz w:val="24"/>
          <w:szCs w:val="24"/>
        </w:rPr>
        <w:t>actually considered</w:t>
      </w:r>
      <w:r w:rsidR="00D43141">
        <w:rPr>
          <w:sz w:val="24"/>
          <w:szCs w:val="24"/>
        </w:rPr>
        <w:t>, which ultimately results in a larger portion of patients receiving prophylaxis.</w:t>
      </w:r>
    </w:p>
    <w:p w:rsidR="00C85C1B" w:rsidRDefault="00C85C1B" w:rsidP="00300E31">
      <w:pPr>
        <w:spacing w:after="0" w:line="240" w:lineRule="auto"/>
        <w:rPr>
          <w:b/>
          <w:sz w:val="28"/>
        </w:rPr>
      </w:pPr>
    </w:p>
    <w:p w:rsidR="003F1439" w:rsidRPr="00471EDC" w:rsidRDefault="003F1439" w:rsidP="00300E31">
      <w:pPr>
        <w:spacing w:after="0" w:line="240" w:lineRule="auto"/>
        <w:rPr>
          <w:b/>
          <w:sz w:val="28"/>
        </w:rPr>
      </w:pPr>
      <w:r w:rsidRPr="00471EDC">
        <w:rPr>
          <w:b/>
          <w:sz w:val="28"/>
        </w:rPr>
        <w:t>Simplicity</w:t>
      </w:r>
    </w:p>
    <w:p w:rsidR="003F1439" w:rsidRDefault="003F1439" w:rsidP="00300E31">
      <w:pPr>
        <w:spacing w:after="0" w:line="240" w:lineRule="auto"/>
        <w:rPr>
          <w:sz w:val="24"/>
        </w:rPr>
      </w:pPr>
      <w:r>
        <w:rPr>
          <w:sz w:val="24"/>
        </w:rPr>
        <w:t>Try to limit choices for DVT prophylaxis to keep it simple.  Only one or two choices are sufficient in most situations.</w:t>
      </w:r>
    </w:p>
    <w:p w:rsidR="00C85C1B" w:rsidRDefault="00C85C1B" w:rsidP="00300E31">
      <w:pPr>
        <w:spacing w:after="0" w:line="240" w:lineRule="auto"/>
        <w:rPr>
          <w:b/>
          <w:sz w:val="28"/>
        </w:rPr>
      </w:pPr>
    </w:p>
    <w:p w:rsidR="00471EDC" w:rsidRPr="00471EDC" w:rsidRDefault="00BF7F68" w:rsidP="00C85C1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Low-Dose </w:t>
      </w:r>
      <w:r w:rsidR="00471EDC" w:rsidRPr="00471EDC">
        <w:rPr>
          <w:b/>
          <w:sz w:val="28"/>
        </w:rPr>
        <w:t xml:space="preserve">Unfractionated Heparin </w:t>
      </w:r>
      <w:r>
        <w:rPr>
          <w:b/>
          <w:sz w:val="28"/>
        </w:rPr>
        <w:t xml:space="preserve">(LDUH) </w:t>
      </w:r>
      <w:r w:rsidR="00471EDC" w:rsidRPr="00471EDC">
        <w:rPr>
          <w:b/>
          <w:sz w:val="28"/>
        </w:rPr>
        <w:t>v</w:t>
      </w:r>
      <w:r w:rsidR="003F1439" w:rsidRPr="00471EDC">
        <w:rPr>
          <w:b/>
          <w:sz w:val="28"/>
        </w:rPr>
        <w:t>s</w:t>
      </w:r>
      <w:r w:rsidR="00C85C1B">
        <w:rPr>
          <w:b/>
          <w:sz w:val="28"/>
        </w:rPr>
        <w:t>.</w:t>
      </w:r>
      <w:r w:rsidR="003F1439" w:rsidRPr="00471EDC">
        <w:rPr>
          <w:b/>
          <w:sz w:val="28"/>
        </w:rPr>
        <w:t xml:space="preserve"> Low Molecular Weight Heparin</w:t>
      </w:r>
      <w:r>
        <w:rPr>
          <w:b/>
          <w:sz w:val="28"/>
        </w:rPr>
        <w:t xml:space="preserve"> (LMWH)</w:t>
      </w:r>
    </w:p>
    <w:p w:rsidR="003F1439" w:rsidRDefault="00471EDC" w:rsidP="00471EDC">
      <w:pPr>
        <w:rPr>
          <w:sz w:val="24"/>
        </w:rPr>
      </w:pPr>
      <w:r>
        <w:rPr>
          <w:sz w:val="24"/>
        </w:rPr>
        <w:t xml:space="preserve">There has been a movement in recent years towards the use of </w:t>
      </w:r>
      <w:r w:rsidR="00BF7F68">
        <w:rPr>
          <w:sz w:val="24"/>
        </w:rPr>
        <w:t>LMWH</w:t>
      </w:r>
      <w:r w:rsidR="003F1439">
        <w:rPr>
          <w:sz w:val="24"/>
        </w:rPr>
        <w:t xml:space="preserve"> </w:t>
      </w:r>
      <w:r>
        <w:rPr>
          <w:sz w:val="24"/>
        </w:rPr>
        <w:t xml:space="preserve">over </w:t>
      </w:r>
      <w:r w:rsidR="00BF7F68">
        <w:rPr>
          <w:sz w:val="24"/>
        </w:rPr>
        <w:t>LDUH</w:t>
      </w:r>
      <w:r>
        <w:rPr>
          <w:sz w:val="24"/>
        </w:rPr>
        <w:t>.  L</w:t>
      </w:r>
      <w:r w:rsidR="00BF7F68">
        <w:rPr>
          <w:sz w:val="24"/>
        </w:rPr>
        <w:t xml:space="preserve">MWH </w:t>
      </w:r>
      <w:r>
        <w:rPr>
          <w:sz w:val="24"/>
        </w:rPr>
        <w:t xml:space="preserve">have advantages over </w:t>
      </w:r>
      <w:r w:rsidR="00BF7F68">
        <w:rPr>
          <w:sz w:val="24"/>
        </w:rPr>
        <w:t>LDUH</w:t>
      </w:r>
      <w:r>
        <w:rPr>
          <w:sz w:val="24"/>
        </w:rPr>
        <w:t xml:space="preserve"> </w:t>
      </w:r>
      <w:r w:rsidR="00C85C1B">
        <w:rPr>
          <w:sz w:val="24"/>
        </w:rPr>
        <w:t>including:</w:t>
      </w:r>
      <w:r>
        <w:rPr>
          <w:sz w:val="24"/>
        </w:rPr>
        <w:t xml:space="preserve"> once a day administration, lower rate</w:t>
      </w:r>
      <w:r w:rsidR="00C85C1B">
        <w:rPr>
          <w:sz w:val="24"/>
        </w:rPr>
        <w:t>s</w:t>
      </w:r>
      <w:r>
        <w:rPr>
          <w:sz w:val="24"/>
        </w:rPr>
        <w:t xml:space="preserve"> of heparin induced thrombocytopenia</w:t>
      </w:r>
      <w:r w:rsidR="00C85C1B">
        <w:rPr>
          <w:sz w:val="24"/>
        </w:rPr>
        <w:t>,</w:t>
      </w:r>
      <w:r>
        <w:rPr>
          <w:sz w:val="24"/>
        </w:rPr>
        <w:t xml:space="preserve"> and availability </w:t>
      </w:r>
      <w:r w:rsidR="00C85C1B">
        <w:rPr>
          <w:sz w:val="24"/>
        </w:rPr>
        <w:t>in</w:t>
      </w:r>
      <w:r>
        <w:rPr>
          <w:sz w:val="24"/>
        </w:rPr>
        <w:t xml:space="preserve"> prefilled syringe</w:t>
      </w:r>
      <w:r w:rsidR="00C85C1B">
        <w:rPr>
          <w:sz w:val="24"/>
        </w:rPr>
        <w:t>s</w:t>
      </w:r>
      <w:r>
        <w:rPr>
          <w:sz w:val="24"/>
        </w:rPr>
        <w:t>.</w:t>
      </w:r>
      <w:r w:rsidR="00715CB4">
        <w:rPr>
          <w:sz w:val="24"/>
        </w:rPr>
        <w:t xml:space="preserve"> The cost difference, if any, is small between LMWH and </w:t>
      </w:r>
      <w:r w:rsidR="00BF7F68">
        <w:rPr>
          <w:sz w:val="24"/>
        </w:rPr>
        <w:t>LDUH, thereby reducing any resistance to eliminating LDUH altogether.</w:t>
      </w:r>
    </w:p>
    <w:p w:rsidR="00D43141" w:rsidRDefault="00D43141" w:rsidP="00300E31">
      <w:pPr>
        <w:spacing w:after="0"/>
        <w:rPr>
          <w:b/>
          <w:sz w:val="28"/>
        </w:rPr>
      </w:pPr>
      <w:r w:rsidRPr="00D43141">
        <w:rPr>
          <w:b/>
          <w:sz w:val="28"/>
        </w:rPr>
        <w:t xml:space="preserve">Weight Based </w:t>
      </w:r>
      <w:r w:rsidR="00BF7F68">
        <w:rPr>
          <w:b/>
          <w:sz w:val="28"/>
        </w:rPr>
        <w:t>v</w:t>
      </w:r>
      <w:r w:rsidR="00BF7F68" w:rsidRPr="00D43141">
        <w:rPr>
          <w:b/>
          <w:sz w:val="28"/>
        </w:rPr>
        <w:t>s</w:t>
      </w:r>
      <w:r w:rsidR="00C85C1B">
        <w:rPr>
          <w:b/>
          <w:sz w:val="28"/>
        </w:rPr>
        <w:t>.</w:t>
      </w:r>
      <w:r w:rsidR="00BF7F68" w:rsidRPr="00D43141">
        <w:rPr>
          <w:b/>
          <w:sz w:val="28"/>
        </w:rPr>
        <w:t xml:space="preserve"> </w:t>
      </w:r>
      <w:r w:rsidRPr="00D43141">
        <w:rPr>
          <w:b/>
          <w:sz w:val="28"/>
        </w:rPr>
        <w:t>Fixed Dosing</w:t>
      </w:r>
    </w:p>
    <w:p w:rsidR="00D43141" w:rsidRDefault="00EE3740" w:rsidP="00C85C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evidence that obese patients </w:t>
      </w:r>
      <w:r w:rsidR="00C85C1B">
        <w:rPr>
          <w:sz w:val="24"/>
          <w:szCs w:val="24"/>
        </w:rPr>
        <w:t>(&gt;100 kg, BMI&gt;35 kg/</w:t>
      </w:r>
      <w:r w:rsidR="00C85C1B">
        <w:rPr>
          <w:sz w:val="24"/>
          <w:szCs w:val="24"/>
          <w:vertAlign w:val="superscript"/>
        </w:rPr>
        <w:t xml:space="preserve"> </w:t>
      </w:r>
      <w:r w:rsidR="00C85C1B">
        <w:rPr>
          <w:sz w:val="24"/>
          <w:szCs w:val="24"/>
        </w:rPr>
        <w:t>m</w:t>
      </w:r>
      <w:r w:rsidR="00C85C1B">
        <w:rPr>
          <w:sz w:val="24"/>
          <w:szCs w:val="24"/>
          <w:vertAlign w:val="superscript"/>
        </w:rPr>
        <w:t>2</w:t>
      </w:r>
      <w:r w:rsidR="00C85C1B">
        <w:rPr>
          <w:sz w:val="24"/>
          <w:szCs w:val="24"/>
        </w:rPr>
        <w:t>)</w:t>
      </w:r>
      <w:r w:rsidR="00C85C1B">
        <w:rPr>
          <w:sz w:val="24"/>
          <w:szCs w:val="24"/>
          <w:vertAlign w:val="superscript"/>
        </w:rPr>
        <w:t xml:space="preserve">   </w:t>
      </w:r>
      <w:r w:rsidRPr="00C85C1B">
        <w:rPr>
          <w:sz w:val="24"/>
          <w:szCs w:val="24"/>
        </w:rPr>
        <w:t>require h</w:t>
      </w:r>
      <w:r>
        <w:rPr>
          <w:sz w:val="24"/>
          <w:szCs w:val="24"/>
        </w:rPr>
        <w:t xml:space="preserve">igher doses of </w:t>
      </w:r>
      <w:r w:rsidR="00BF7F68">
        <w:rPr>
          <w:sz w:val="24"/>
          <w:szCs w:val="24"/>
        </w:rPr>
        <w:t>LMWH</w:t>
      </w:r>
      <w:r>
        <w:rPr>
          <w:sz w:val="24"/>
          <w:szCs w:val="24"/>
        </w:rPr>
        <w:t xml:space="preserve"> than non-obese patients.  However, fixed doses of </w:t>
      </w:r>
      <w:r w:rsidR="00BF7F68">
        <w:rPr>
          <w:sz w:val="24"/>
          <w:szCs w:val="24"/>
        </w:rPr>
        <w:t xml:space="preserve">LMWH </w:t>
      </w:r>
      <w:r>
        <w:rPr>
          <w:sz w:val="24"/>
          <w:szCs w:val="24"/>
        </w:rPr>
        <w:t>in a prefilled syringe (i</w:t>
      </w:r>
      <w:r w:rsidR="00BF7F68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BF7F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7F68">
        <w:rPr>
          <w:sz w:val="24"/>
          <w:szCs w:val="24"/>
        </w:rPr>
        <w:t>t</w:t>
      </w:r>
      <w:r>
        <w:rPr>
          <w:sz w:val="24"/>
          <w:szCs w:val="24"/>
        </w:rPr>
        <w:t xml:space="preserve">inzaparin 4500 U </w:t>
      </w:r>
      <w:r w:rsidR="00C85C1B">
        <w:rPr>
          <w:sz w:val="24"/>
          <w:szCs w:val="24"/>
        </w:rPr>
        <w:t xml:space="preserve">subcutaneously once </w:t>
      </w:r>
      <w:r>
        <w:rPr>
          <w:sz w:val="24"/>
          <w:szCs w:val="24"/>
        </w:rPr>
        <w:t xml:space="preserve">daily) is the </w:t>
      </w:r>
      <w:r w:rsidR="00202D31">
        <w:rPr>
          <w:sz w:val="24"/>
          <w:szCs w:val="24"/>
        </w:rPr>
        <w:t>simplest</w:t>
      </w:r>
      <w:r>
        <w:rPr>
          <w:sz w:val="24"/>
          <w:szCs w:val="24"/>
        </w:rPr>
        <w:t xml:space="preserve"> regimen</w:t>
      </w:r>
      <w:r w:rsidR="00BF7F68">
        <w:rPr>
          <w:sz w:val="24"/>
          <w:szCs w:val="24"/>
        </w:rPr>
        <w:t xml:space="preserve"> for most patients</w:t>
      </w:r>
      <w:r>
        <w:rPr>
          <w:sz w:val="24"/>
          <w:szCs w:val="24"/>
        </w:rPr>
        <w:t>.</w:t>
      </w:r>
    </w:p>
    <w:p w:rsidR="00EE3740" w:rsidRDefault="00EE3740" w:rsidP="00471EDC">
      <w:pPr>
        <w:rPr>
          <w:sz w:val="24"/>
          <w:szCs w:val="24"/>
        </w:rPr>
      </w:pPr>
      <w:r>
        <w:rPr>
          <w:sz w:val="24"/>
          <w:szCs w:val="24"/>
        </w:rPr>
        <w:t xml:space="preserve">One way to solve this </w:t>
      </w:r>
      <w:r w:rsidR="00BF7F68">
        <w:rPr>
          <w:sz w:val="24"/>
          <w:szCs w:val="24"/>
        </w:rPr>
        <w:t>issue</w:t>
      </w:r>
      <w:r>
        <w:rPr>
          <w:sz w:val="24"/>
          <w:szCs w:val="24"/>
        </w:rPr>
        <w:t xml:space="preserve"> on the clinical order set is to have a fixed dose for </w:t>
      </w:r>
      <w:r w:rsidR="00427602">
        <w:rPr>
          <w:sz w:val="24"/>
          <w:szCs w:val="24"/>
        </w:rPr>
        <w:t>the most common weight ranges</w:t>
      </w:r>
      <w:r w:rsidR="00C85C1B">
        <w:rPr>
          <w:sz w:val="24"/>
          <w:szCs w:val="24"/>
        </w:rPr>
        <w:t>, with adjusted dosing for those at the weight extremes (&lt;50 or &gt;100 kg).</w:t>
      </w:r>
      <w:r>
        <w:rPr>
          <w:sz w:val="24"/>
          <w:szCs w:val="24"/>
        </w:rPr>
        <w:t xml:space="preserve"> </w:t>
      </w:r>
    </w:p>
    <w:p w:rsidR="008A6FDB" w:rsidRDefault="008A6FDB" w:rsidP="008A6FDB">
      <w:pPr>
        <w:ind w:left="720"/>
        <w:rPr>
          <w:sz w:val="24"/>
          <w:szCs w:val="24"/>
        </w:rPr>
      </w:pPr>
    </w:p>
    <w:p w:rsidR="00300E31" w:rsidRDefault="00300E31" w:rsidP="00300E31">
      <w:pPr>
        <w:spacing w:after="0" w:line="240" w:lineRule="auto"/>
        <w:rPr>
          <w:sz w:val="24"/>
          <w:szCs w:val="24"/>
        </w:rPr>
      </w:pPr>
    </w:p>
    <w:p w:rsidR="00C85C1B" w:rsidRPr="00300E31" w:rsidRDefault="009345A4" w:rsidP="00300E31">
      <w:pPr>
        <w:spacing w:after="0" w:line="240" w:lineRule="auto"/>
        <w:rPr>
          <w:b/>
          <w:sz w:val="24"/>
          <w:szCs w:val="24"/>
        </w:rPr>
      </w:pPr>
      <w:r w:rsidRPr="00300E31">
        <w:rPr>
          <w:b/>
          <w:sz w:val="24"/>
          <w:szCs w:val="24"/>
        </w:rPr>
        <w:lastRenderedPageBreak/>
        <w:t>Dosing Considerations</w:t>
      </w:r>
    </w:p>
    <w:p w:rsidR="008A6FDB" w:rsidRDefault="009345A4" w:rsidP="008A6FDB">
      <w:pPr>
        <w:pStyle w:val="ListParagraph"/>
        <w:numPr>
          <w:ilvl w:val="0"/>
          <w:numId w:val="4"/>
        </w:numPr>
        <w:tabs>
          <w:tab w:val="left" w:pos="426"/>
        </w:tabs>
        <w:spacing w:before="40" w:after="0" w:line="240" w:lineRule="auto"/>
        <w:rPr>
          <w:rFonts w:cstheme="minorHAnsi"/>
          <w:sz w:val="24"/>
          <w:szCs w:val="24"/>
        </w:rPr>
      </w:pPr>
      <w:r w:rsidRPr="008A6FDB">
        <w:rPr>
          <w:rFonts w:cstheme="minorHAnsi"/>
          <w:sz w:val="24"/>
          <w:szCs w:val="24"/>
        </w:rPr>
        <w:t xml:space="preserve">50-100 kg Tinzaparin 4500 units subcutaneously once a day </w:t>
      </w:r>
    </w:p>
    <w:p w:rsidR="008A6FDB" w:rsidRDefault="008A6FDB" w:rsidP="008A6FDB">
      <w:pPr>
        <w:pStyle w:val="ListParagraph"/>
        <w:numPr>
          <w:ilvl w:val="0"/>
          <w:numId w:val="4"/>
        </w:numPr>
        <w:tabs>
          <w:tab w:val="left" w:pos="426"/>
        </w:tabs>
        <w:spacing w:before="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</w:t>
      </w:r>
      <w:r w:rsidR="00364332" w:rsidRPr="008A6FDB">
        <w:rPr>
          <w:rFonts w:cstheme="minorHAnsi"/>
          <w:sz w:val="24"/>
          <w:szCs w:val="24"/>
        </w:rPr>
        <w:t xml:space="preserve">100 kg </w:t>
      </w:r>
      <w:r w:rsidR="009345A4" w:rsidRPr="008A6FDB">
        <w:rPr>
          <w:rFonts w:cstheme="minorHAnsi"/>
          <w:sz w:val="24"/>
          <w:szCs w:val="24"/>
        </w:rPr>
        <w:t>Tin</w:t>
      </w:r>
      <w:r w:rsidR="00527D3A" w:rsidRPr="008A6FDB">
        <w:rPr>
          <w:rFonts w:cstheme="minorHAnsi"/>
          <w:sz w:val="24"/>
          <w:szCs w:val="24"/>
        </w:rPr>
        <w:t>z</w:t>
      </w:r>
      <w:r w:rsidR="009345A4" w:rsidRPr="008A6FDB">
        <w:rPr>
          <w:rFonts w:cstheme="minorHAnsi"/>
          <w:sz w:val="24"/>
          <w:szCs w:val="24"/>
        </w:rPr>
        <w:t xml:space="preserve">aparin subcutaneously </w:t>
      </w:r>
    </w:p>
    <w:p w:rsidR="009345A4" w:rsidRPr="008A6FDB" w:rsidRDefault="009345A4" w:rsidP="008A6FDB">
      <w:pPr>
        <w:pStyle w:val="ListParagraph"/>
        <w:tabs>
          <w:tab w:val="left" w:pos="426"/>
        </w:tabs>
        <w:spacing w:before="40" w:after="40"/>
        <w:rPr>
          <w:rFonts w:cstheme="minorHAnsi"/>
          <w:sz w:val="24"/>
          <w:szCs w:val="24"/>
        </w:rPr>
      </w:pPr>
      <w:r w:rsidRPr="008A6FDB">
        <w:rPr>
          <w:rFonts w:cstheme="minorHAnsi"/>
          <w:sz w:val="24"/>
          <w:szCs w:val="24"/>
        </w:rPr>
        <w:t>_______ 75 IU/kg daily or 10 000 units daily</w:t>
      </w:r>
      <w:r w:rsidR="00300E31">
        <w:rPr>
          <w:rFonts w:cstheme="minorHAnsi"/>
          <w:sz w:val="24"/>
          <w:szCs w:val="24"/>
        </w:rPr>
        <w:t xml:space="preserve"> or 4 500 units BID</w:t>
      </w:r>
    </w:p>
    <w:p w:rsidR="009345A4" w:rsidRPr="008A6FDB" w:rsidRDefault="009345A4" w:rsidP="00300E31">
      <w:pPr>
        <w:pStyle w:val="ListParagraph"/>
        <w:numPr>
          <w:ilvl w:val="0"/>
          <w:numId w:val="4"/>
        </w:numPr>
        <w:tabs>
          <w:tab w:val="left" w:pos="426"/>
        </w:tabs>
        <w:spacing w:before="40" w:after="40"/>
        <w:rPr>
          <w:rFonts w:cstheme="minorHAnsi"/>
          <w:sz w:val="24"/>
          <w:szCs w:val="24"/>
        </w:rPr>
      </w:pPr>
      <w:r w:rsidRPr="008A6FDB">
        <w:rPr>
          <w:rFonts w:cstheme="minorHAnsi"/>
          <w:sz w:val="24"/>
          <w:szCs w:val="24"/>
        </w:rPr>
        <w:t xml:space="preserve">&lt;50 kg Tinzaparin 2500 units subcutaneously once a day </w:t>
      </w:r>
    </w:p>
    <w:p w:rsidR="00EE3740" w:rsidRPr="00300E31" w:rsidRDefault="00BF7F68" w:rsidP="00300E31">
      <w:pPr>
        <w:spacing w:after="0" w:line="240" w:lineRule="auto"/>
        <w:rPr>
          <w:i/>
          <w:sz w:val="24"/>
          <w:szCs w:val="24"/>
        </w:rPr>
      </w:pPr>
      <w:r w:rsidRPr="00300E31">
        <w:rPr>
          <w:i/>
          <w:sz w:val="24"/>
          <w:szCs w:val="24"/>
        </w:rPr>
        <w:t>C</w:t>
      </w:r>
      <w:r w:rsidR="00EE3740" w:rsidRPr="00300E31">
        <w:rPr>
          <w:i/>
          <w:sz w:val="24"/>
          <w:szCs w:val="24"/>
        </w:rPr>
        <w:t xml:space="preserve">linical order sets for a predominately </w:t>
      </w:r>
      <w:r w:rsidR="00427602" w:rsidRPr="00300E31">
        <w:rPr>
          <w:i/>
          <w:sz w:val="24"/>
          <w:szCs w:val="24"/>
        </w:rPr>
        <w:t xml:space="preserve">obese population </w:t>
      </w:r>
      <w:r w:rsidRPr="00300E31">
        <w:rPr>
          <w:i/>
          <w:sz w:val="24"/>
          <w:szCs w:val="24"/>
        </w:rPr>
        <w:t xml:space="preserve">(such as </w:t>
      </w:r>
      <w:r w:rsidR="00427602" w:rsidRPr="00300E31">
        <w:rPr>
          <w:i/>
          <w:sz w:val="24"/>
          <w:szCs w:val="24"/>
        </w:rPr>
        <w:t>bariatric surgery</w:t>
      </w:r>
      <w:r w:rsidRPr="00300E31">
        <w:rPr>
          <w:i/>
          <w:sz w:val="24"/>
          <w:szCs w:val="24"/>
        </w:rPr>
        <w:t>)</w:t>
      </w:r>
      <w:r w:rsidR="00427602" w:rsidRPr="00300E31">
        <w:rPr>
          <w:i/>
          <w:sz w:val="24"/>
          <w:szCs w:val="24"/>
        </w:rPr>
        <w:t xml:space="preserve"> may warrant two or three weight ranges using prefilled syringe sizes.</w:t>
      </w:r>
    </w:p>
    <w:p w:rsidR="00427602" w:rsidRPr="008A6FDB" w:rsidRDefault="00427602" w:rsidP="00300E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DB">
        <w:rPr>
          <w:sz w:val="24"/>
          <w:szCs w:val="24"/>
        </w:rPr>
        <w:t>100 – 150 Kg</w:t>
      </w:r>
      <w:r w:rsidRPr="008A6FDB">
        <w:rPr>
          <w:sz w:val="24"/>
          <w:szCs w:val="24"/>
        </w:rPr>
        <w:tab/>
      </w:r>
      <w:r w:rsidR="00BF7F68" w:rsidRPr="008A6FDB">
        <w:rPr>
          <w:sz w:val="24"/>
          <w:szCs w:val="24"/>
        </w:rPr>
        <w:t xml:space="preserve">tinzaparin </w:t>
      </w:r>
      <w:r w:rsidRPr="008A6FDB">
        <w:rPr>
          <w:sz w:val="24"/>
          <w:szCs w:val="24"/>
        </w:rPr>
        <w:t xml:space="preserve">10,000 U </w:t>
      </w:r>
      <w:r w:rsidR="008A6FDB" w:rsidRPr="008A6FDB">
        <w:rPr>
          <w:rFonts w:cstheme="minorHAnsi"/>
          <w:sz w:val="24"/>
          <w:szCs w:val="24"/>
        </w:rPr>
        <w:t>subcutaneously once a day</w:t>
      </w:r>
    </w:p>
    <w:p w:rsidR="00427602" w:rsidRPr="008A6FDB" w:rsidRDefault="00427602" w:rsidP="00300E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DB">
        <w:rPr>
          <w:sz w:val="24"/>
          <w:szCs w:val="24"/>
        </w:rPr>
        <w:t>151 – 200 Kg</w:t>
      </w:r>
      <w:r w:rsidRPr="008A6FDB">
        <w:rPr>
          <w:sz w:val="24"/>
          <w:szCs w:val="24"/>
        </w:rPr>
        <w:tab/>
      </w:r>
      <w:r w:rsidR="00BF7F68" w:rsidRPr="008A6FDB">
        <w:rPr>
          <w:sz w:val="24"/>
          <w:szCs w:val="24"/>
        </w:rPr>
        <w:t xml:space="preserve">tinzaparin </w:t>
      </w:r>
      <w:r w:rsidRPr="008A6FDB">
        <w:rPr>
          <w:sz w:val="24"/>
          <w:szCs w:val="24"/>
        </w:rPr>
        <w:t xml:space="preserve">14,000 U </w:t>
      </w:r>
      <w:r w:rsidR="008A6FDB" w:rsidRPr="008A6FDB">
        <w:rPr>
          <w:rFonts w:cstheme="minorHAnsi"/>
          <w:sz w:val="24"/>
          <w:szCs w:val="24"/>
        </w:rPr>
        <w:t>subcutaneously once a day</w:t>
      </w:r>
    </w:p>
    <w:p w:rsidR="00427602" w:rsidRPr="008A6FDB" w:rsidRDefault="00427602" w:rsidP="00300E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DB">
        <w:rPr>
          <w:sz w:val="24"/>
          <w:szCs w:val="24"/>
        </w:rPr>
        <w:t>201 – 250 Kg</w:t>
      </w:r>
      <w:r w:rsidRPr="008A6FDB">
        <w:rPr>
          <w:sz w:val="24"/>
          <w:szCs w:val="24"/>
        </w:rPr>
        <w:tab/>
      </w:r>
      <w:r w:rsidR="00BF7F68" w:rsidRPr="008A6FDB">
        <w:rPr>
          <w:sz w:val="24"/>
          <w:szCs w:val="24"/>
        </w:rPr>
        <w:t xml:space="preserve">tinzaparin </w:t>
      </w:r>
      <w:r w:rsidRPr="008A6FDB">
        <w:rPr>
          <w:sz w:val="24"/>
          <w:szCs w:val="24"/>
        </w:rPr>
        <w:t xml:space="preserve">18,000 U </w:t>
      </w:r>
      <w:r w:rsidR="008A6FDB" w:rsidRPr="008A6FDB">
        <w:rPr>
          <w:rFonts w:cstheme="minorHAnsi"/>
          <w:sz w:val="24"/>
          <w:szCs w:val="24"/>
        </w:rPr>
        <w:t>subcutaneously once a day</w:t>
      </w:r>
    </w:p>
    <w:p w:rsidR="00300E31" w:rsidRDefault="00300E31" w:rsidP="008A6FDB">
      <w:pPr>
        <w:spacing w:after="0"/>
        <w:rPr>
          <w:b/>
          <w:sz w:val="28"/>
        </w:rPr>
      </w:pPr>
    </w:p>
    <w:p w:rsidR="00BF7F68" w:rsidRPr="00471EDC" w:rsidRDefault="00BF7F68" w:rsidP="008A6FDB">
      <w:pPr>
        <w:spacing w:after="0"/>
        <w:rPr>
          <w:b/>
          <w:sz w:val="28"/>
        </w:rPr>
      </w:pPr>
      <w:r>
        <w:rPr>
          <w:b/>
          <w:sz w:val="28"/>
        </w:rPr>
        <w:t>Renal Dysfunction</w:t>
      </w:r>
    </w:p>
    <w:p w:rsidR="00BF7F68" w:rsidRPr="00300E31" w:rsidRDefault="00BF7F68" w:rsidP="008A6FDB">
      <w:pPr>
        <w:spacing w:after="0"/>
        <w:rPr>
          <w:rFonts w:cstheme="minorHAnsi"/>
          <w:sz w:val="24"/>
          <w:szCs w:val="24"/>
        </w:rPr>
      </w:pPr>
      <w:r w:rsidRPr="00300E31">
        <w:rPr>
          <w:rFonts w:cstheme="minorHAnsi"/>
          <w:sz w:val="24"/>
          <w:szCs w:val="24"/>
        </w:rPr>
        <w:t xml:space="preserve">With tinzaparin, there is no need to </w:t>
      </w:r>
      <w:r w:rsidR="00300E31" w:rsidRPr="00300E31">
        <w:rPr>
          <w:rFonts w:cstheme="minorHAnsi"/>
          <w:sz w:val="24"/>
          <w:szCs w:val="24"/>
        </w:rPr>
        <w:t>adjust/reduce the</w:t>
      </w:r>
      <w:r w:rsidRPr="00300E31">
        <w:rPr>
          <w:rFonts w:cstheme="minorHAnsi"/>
          <w:sz w:val="24"/>
          <w:szCs w:val="24"/>
        </w:rPr>
        <w:t xml:space="preserve"> prophylactic dose in patients with renal dysfunction.</w:t>
      </w:r>
      <w:r w:rsidR="00300E31" w:rsidRPr="00300E31">
        <w:rPr>
          <w:rFonts w:cstheme="minorHAnsi"/>
          <w:sz w:val="24"/>
          <w:szCs w:val="24"/>
          <w:vertAlign w:val="superscript"/>
        </w:rPr>
        <w:t>1</w:t>
      </w:r>
      <w:r w:rsidRPr="00300E31">
        <w:rPr>
          <w:rFonts w:cstheme="minorHAnsi"/>
          <w:sz w:val="24"/>
          <w:szCs w:val="24"/>
        </w:rPr>
        <w:t xml:space="preserve"> </w:t>
      </w:r>
      <w:r w:rsidR="00300E31" w:rsidRPr="00300E31">
        <w:rPr>
          <w:rFonts w:cstheme="minorHAnsi"/>
          <w:sz w:val="24"/>
          <w:szCs w:val="24"/>
        </w:rPr>
        <w:t xml:space="preserve">No dose adjustment of tinzaparin is needed for patients with renal failure </w:t>
      </w:r>
      <w:r w:rsidR="00300E31" w:rsidRPr="00300E31">
        <w:rPr>
          <w:rFonts w:cstheme="minorHAnsi"/>
          <w:sz w:val="24"/>
          <w:szCs w:val="24"/>
        </w:rPr>
        <w:t xml:space="preserve">or </w:t>
      </w:r>
      <w:r w:rsidRPr="00300E31">
        <w:rPr>
          <w:rFonts w:cstheme="minorHAnsi"/>
          <w:sz w:val="24"/>
          <w:szCs w:val="24"/>
        </w:rPr>
        <w:t>patients receiving intermittent hemodialysis</w:t>
      </w:r>
      <w:r w:rsidR="00202D31">
        <w:rPr>
          <w:rFonts w:cstheme="minorHAnsi"/>
          <w:sz w:val="24"/>
          <w:szCs w:val="24"/>
          <w:vertAlign w:val="superscript"/>
        </w:rPr>
        <w:t>2,3</w:t>
      </w:r>
      <w:r w:rsidRPr="00300E31">
        <w:rPr>
          <w:rFonts w:cstheme="minorHAnsi"/>
          <w:sz w:val="24"/>
          <w:szCs w:val="24"/>
        </w:rPr>
        <w:t>, it is suggested that the prophylactic dose of tinzaparin be given after the dialysis (for example, qhs).</w:t>
      </w:r>
    </w:p>
    <w:p w:rsidR="00202D31" w:rsidRDefault="00202D31" w:rsidP="00300E31">
      <w:pPr>
        <w:tabs>
          <w:tab w:val="left" w:pos="945"/>
        </w:tabs>
        <w:ind w:left="360"/>
        <w:rPr>
          <w:rFonts w:ascii="Garamond" w:hAnsi="Garamond"/>
          <w:sz w:val="20"/>
        </w:rPr>
      </w:pPr>
    </w:p>
    <w:p w:rsidR="00202D31" w:rsidRDefault="00202D31" w:rsidP="00300E31">
      <w:pPr>
        <w:tabs>
          <w:tab w:val="left" w:pos="945"/>
        </w:tabs>
        <w:ind w:left="360"/>
        <w:rPr>
          <w:rFonts w:ascii="Garamond" w:hAnsi="Garamond"/>
          <w:sz w:val="20"/>
        </w:rPr>
      </w:pPr>
    </w:p>
    <w:p w:rsidR="00300E31" w:rsidRPr="007909B5" w:rsidRDefault="00300E31" w:rsidP="00300E31">
      <w:pPr>
        <w:tabs>
          <w:tab w:val="left" w:pos="945"/>
        </w:tabs>
        <w:ind w:lef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1..</w:t>
      </w:r>
      <w:r w:rsidRPr="007909B5">
        <w:rPr>
          <w:rFonts w:ascii="Garamond" w:hAnsi="Garamond"/>
          <w:sz w:val="20"/>
        </w:rPr>
        <w:t xml:space="preserve">Mahé O, </w:t>
      </w:r>
      <w:r w:rsidRPr="007909B5">
        <w:rPr>
          <w:rFonts w:ascii="Garamond" w:hAnsi="Garamond"/>
          <w:i/>
          <w:sz w:val="20"/>
        </w:rPr>
        <w:t xml:space="preserve">et al.  Thromb </w:t>
      </w:r>
      <w:proofErr w:type="spellStart"/>
      <w:r w:rsidRPr="007909B5">
        <w:rPr>
          <w:rFonts w:ascii="Garamond" w:hAnsi="Garamond"/>
          <w:i/>
          <w:sz w:val="20"/>
        </w:rPr>
        <w:t>Haemost</w:t>
      </w:r>
      <w:bookmarkStart w:id="0" w:name="_GoBack"/>
      <w:bookmarkEnd w:id="0"/>
      <w:proofErr w:type="spellEnd"/>
      <w:r w:rsidRPr="007909B5">
        <w:rPr>
          <w:rFonts w:ascii="Garamond" w:hAnsi="Garamond"/>
          <w:sz w:val="20"/>
        </w:rPr>
        <w:t xml:space="preserve"> 2007</w:t>
      </w:r>
      <w:proofErr w:type="gramStart"/>
      <w:r w:rsidRPr="007909B5">
        <w:rPr>
          <w:rFonts w:ascii="Garamond" w:hAnsi="Garamond"/>
          <w:sz w:val="20"/>
        </w:rPr>
        <w:t>;97:581</w:t>
      </w:r>
      <w:proofErr w:type="gramEnd"/>
      <w:r w:rsidRPr="007909B5">
        <w:rPr>
          <w:rFonts w:ascii="Garamond" w:hAnsi="Garamond"/>
          <w:sz w:val="20"/>
        </w:rPr>
        <w:t xml:space="preserve">-6; </w:t>
      </w:r>
      <w:r>
        <w:rPr>
          <w:rFonts w:ascii="Garamond" w:hAnsi="Garamond"/>
          <w:sz w:val="20"/>
        </w:rPr>
        <w:t xml:space="preserve">2. </w:t>
      </w:r>
      <w:r w:rsidRPr="007909B5">
        <w:rPr>
          <w:rFonts w:ascii="Garamond" w:hAnsi="Garamond"/>
          <w:sz w:val="20"/>
        </w:rPr>
        <w:t xml:space="preserve">PROTECT Investigators. </w:t>
      </w:r>
      <w:r w:rsidRPr="007909B5">
        <w:rPr>
          <w:rFonts w:ascii="Garamond" w:hAnsi="Garamond"/>
          <w:i/>
          <w:sz w:val="20"/>
        </w:rPr>
        <w:t xml:space="preserve">N </w:t>
      </w:r>
      <w:proofErr w:type="spellStart"/>
      <w:r w:rsidRPr="007909B5">
        <w:rPr>
          <w:rFonts w:ascii="Garamond" w:hAnsi="Garamond"/>
          <w:i/>
          <w:sz w:val="20"/>
        </w:rPr>
        <w:t>Engl</w:t>
      </w:r>
      <w:proofErr w:type="spellEnd"/>
      <w:r w:rsidRPr="007909B5">
        <w:rPr>
          <w:rFonts w:ascii="Garamond" w:hAnsi="Garamond"/>
          <w:i/>
          <w:sz w:val="20"/>
        </w:rPr>
        <w:t xml:space="preserve"> J Med</w:t>
      </w:r>
      <w:r w:rsidRPr="007909B5">
        <w:rPr>
          <w:rFonts w:ascii="Garamond" w:hAnsi="Garamond"/>
          <w:sz w:val="20"/>
        </w:rPr>
        <w:t>. 2011</w:t>
      </w:r>
      <w:proofErr w:type="gramStart"/>
      <w:r w:rsidRPr="007909B5">
        <w:rPr>
          <w:rFonts w:ascii="Garamond" w:hAnsi="Garamond"/>
          <w:sz w:val="20"/>
        </w:rPr>
        <w:t>;364:1305</w:t>
      </w:r>
      <w:proofErr w:type="gramEnd"/>
      <w:r w:rsidRPr="007909B5">
        <w:rPr>
          <w:rFonts w:ascii="Garamond" w:hAnsi="Garamond"/>
          <w:sz w:val="20"/>
        </w:rPr>
        <w:t xml:space="preserve">-14; </w:t>
      </w:r>
      <w:r>
        <w:rPr>
          <w:rFonts w:ascii="Garamond" w:hAnsi="Garamond"/>
          <w:sz w:val="20"/>
        </w:rPr>
        <w:t xml:space="preserve">3. </w:t>
      </w:r>
      <w:proofErr w:type="spellStart"/>
      <w:r w:rsidRPr="007909B5">
        <w:rPr>
          <w:rFonts w:ascii="Garamond" w:hAnsi="Garamond"/>
          <w:sz w:val="20"/>
        </w:rPr>
        <w:t>Nutescu</w:t>
      </w:r>
      <w:proofErr w:type="spellEnd"/>
      <w:r w:rsidRPr="007909B5">
        <w:rPr>
          <w:rFonts w:ascii="Garamond" w:hAnsi="Garamond"/>
          <w:sz w:val="20"/>
        </w:rPr>
        <w:t xml:space="preserve"> EA, </w:t>
      </w:r>
      <w:r w:rsidRPr="007909B5">
        <w:rPr>
          <w:rFonts w:ascii="Garamond" w:hAnsi="Garamond"/>
          <w:i/>
          <w:sz w:val="20"/>
        </w:rPr>
        <w:t xml:space="preserve">et al. Ann </w:t>
      </w:r>
      <w:proofErr w:type="spellStart"/>
      <w:proofErr w:type="gramStart"/>
      <w:r w:rsidRPr="007909B5">
        <w:rPr>
          <w:rFonts w:ascii="Garamond" w:hAnsi="Garamond"/>
          <w:i/>
          <w:sz w:val="20"/>
        </w:rPr>
        <w:t>Pharmacother</w:t>
      </w:r>
      <w:proofErr w:type="spellEnd"/>
      <w:r w:rsidRPr="007909B5">
        <w:rPr>
          <w:rFonts w:ascii="Garamond" w:hAnsi="Garamond"/>
          <w:sz w:val="20"/>
        </w:rPr>
        <w:t xml:space="preserve"> .</w:t>
      </w:r>
      <w:proofErr w:type="gramEnd"/>
      <w:r w:rsidRPr="007909B5">
        <w:rPr>
          <w:rFonts w:ascii="Garamond" w:hAnsi="Garamond"/>
          <w:sz w:val="20"/>
        </w:rPr>
        <w:t xml:space="preserve"> 2009</w:t>
      </w:r>
      <w:proofErr w:type="gramStart"/>
      <w:r w:rsidRPr="007909B5">
        <w:rPr>
          <w:rFonts w:ascii="Garamond" w:hAnsi="Garamond"/>
          <w:sz w:val="20"/>
        </w:rPr>
        <w:t>;43:1064</w:t>
      </w:r>
      <w:proofErr w:type="gramEnd"/>
      <w:r w:rsidRPr="007909B5">
        <w:rPr>
          <w:rFonts w:ascii="Garamond" w:hAnsi="Garamond"/>
          <w:sz w:val="20"/>
        </w:rPr>
        <w:t>-83.</w:t>
      </w:r>
    </w:p>
    <w:p w:rsidR="00300E31" w:rsidRPr="00EE3740" w:rsidRDefault="00300E31" w:rsidP="00300E31">
      <w:pPr>
        <w:rPr>
          <w:sz w:val="24"/>
          <w:szCs w:val="24"/>
        </w:rPr>
      </w:pPr>
    </w:p>
    <w:sectPr w:rsidR="00300E31" w:rsidRPr="00EE3740" w:rsidSect="008C08D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1B" w:rsidRDefault="00C85C1B" w:rsidP="00C85C1B">
      <w:pPr>
        <w:spacing w:after="0" w:line="240" w:lineRule="auto"/>
      </w:pPr>
      <w:r>
        <w:separator/>
      </w:r>
    </w:p>
  </w:endnote>
  <w:endnote w:type="continuationSeparator" w:id="0">
    <w:p w:rsidR="00C85C1B" w:rsidRDefault="00C85C1B" w:rsidP="00C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1B" w:rsidRDefault="00C85C1B" w:rsidP="00C85C1B">
      <w:pPr>
        <w:spacing w:after="0" w:line="240" w:lineRule="auto"/>
      </w:pPr>
      <w:r>
        <w:separator/>
      </w:r>
    </w:p>
  </w:footnote>
  <w:footnote w:type="continuationSeparator" w:id="0">
    <w:p w:rsidR="00C85C1B" w:rsidRDefault="00C85C1B" w:rsidP="00C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C02A1A152E45839498613D23641A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5C1B" w:rsidRDefault="00C85C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VTE Prophylaxis Working Group</w:t>
        </w:r>
      </w:p>
    </w:sdtContent>
  </w:sdt>
  <w:p w:rsidR="00C85C1B" w:rsidRDefault="00C85C1B">
    <w:pPr>
      <w:pStyle w:val="Header"/>
    </w:pPr>
    <w:sdt>
      <w:sdtPr>
        <w:id w:val="222962510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Good Practice overview v_01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251"/>
    <w:multiLevelType w:val="multilevel"/>
    <w:tmpl w:val="E03CEAD4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AB353E4"/>
    <w:multiLevelType w:val="hybridMultilevel"/>
    <w:tmpl w:val="371A2C8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EE54BBC"/>
    <w:multiLevelType w:val="hybridMultilevel"/>
    <w:tmpl w:val="7AAE02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401BFF"/>
    <w:multiLevelType w:val="hybridMultilevel"/>
    <w:tmpl w:val="74B4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CEB76">
      <w:start w:val="5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F1B31"/>
    <w:multiLevelType w:val="hybridMultilevel"/>
    <w:tmpl w:val="38649D06"/>
    <w:lvl w:ilvl="0" w:tplc="0C544750">
      <w:start w:val="5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39"/>
    <w:rsid w:val="0018034C"/>
    <w:rsid w:val="00202D31"/>
    <w:rsid w:val="00300E31"/>
    <w:rsid w:val="00364332"/>
    <w:rsid w:val="003D05A8"/>
    <w:rsid w:val="003F1439"/>
    <w:rsid w:val="003F6FC9"/>
    <w:rsid w:val="00427602"/>
    <w:rsid w:val="00471EDC"/>
    <w:rsid w:val="00527D3A"/>
    <w:rsid w:val="00715CB4"/>
    <w:rsid w:val="008A6FDB"/>
    <w:rsid w:val="008C08D9"/>
    <w:rsid w:val="009345A4"/>
    <w:rsid w:val="009479EF"/>
    <w:rsid w:val="00960303"/>
    <w:rsid w:val="00BF7F68"/>
    <w:rsid w:val="00C2657C"/>
    <w:rsid w:val="00C85C1B"/>
    <w:rsid w:val="00CD72B1"/>
    <w:rsid w:val="00D43141"/>
    <w:rsid w:val="00DC3625"/>
    <w:rsid w:val="00EE3740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1B"/>
  </w:style>
  <w:style w:type="paragraph" w:styleId="Footer">
    <w:name w:val="footer"/>
    <w:basedOn w:val="Normal"/>
    <w:link w:val="FooterChar"/>
    <w:uiPriority w:val="99"/>
    <w:unhideWhenUsed/>
    <w:rsid w:val="00C8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02A1A152E45839498613D2364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3454-9A83-4983-BF5B-20E210E265E5}"/>
      </w:docPartPr>
      <w:docPartBody>
        <w:p w:rsidR="00000000" w:rsidRDefault="00A720E8" w:rsidP="00A720E8">
          <w:pPr>
            <w:pStyle w:val="76C02A1A152E45839498613D23641A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E8"/>
    <w:rsid w:val="00A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02A1A152E45839498613D23641A28">
    <w:name w:val="76C02A1A152E45839498613D23641A28"/>
    <w:rsid w:val="00A720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02A1A152E45839498613D23641A28">
    <w:name w:val="76C02A1A152E45839498613D23641A28"/>
    <w:rsid w:val="00A72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OrgNameHere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Prophylaxis Working Group</dc:title>
  <dc:subject/>
  <dc:creator>resmith</dc:creator>
  <cp:keywords/>
  <dc:description/>
  <cp:lastModifiedBy>Bonnie Kuehl</cp:lastModifiedBy>
  <cp:revision>12</cp:revision>
  <cp:lastPrinted>2011-06-13T17:10:00Z</cp:lastPrinted>
  <dcterms:created xsi:type="dcterms:W3CDTF">2011-06-14T13:34:00Z</dcterms:created>
  <dcterms:modified xsi:type="dcterms:W3CDTF">2011-06-14T14:16:00Z</dcterms:modified>
</cp:coreProperties>
</file>